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88" w:rsidRDefault="00AD1588" w:rsidP="00AD1588">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8521AD" w:rsidRDefault="008521AD" w:rsidP="005B7058">
      <w:pPr>
        <w:pStyle w:val="03INTESTAZIONEBOLD"/>
        <w:spacing w:line="360"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El nuevo límite de velocidad para Fiat </w:t>
      </w:r>
      <w:proofErr w:type="spellStart"/>
      <w:r>
        <w:rPr>
          <w:rFonts w:ascii="Gill Sans MT" w:hAnsi="Gill Sans MT"/>
          <w:color w:val="000000" w:themeColor="text1"/>
          <w:sz w:val="40"/>
          <w:szCs w:val="40"/>
          <w:lang w:val="es-ES"/>
        </w:rPr>
        <w:t>Fullback</w:t>
      </w:r>
      <w:proofErr w:type="spellEnd"/>
      <w:r>
        <w:rPr>
          <w:rFonts w:ascii="Gill Sans MT" w:hAnsi="Gill Sans MT"/>
          <w:color w:val="000000" w:themeColor="text1"/>
          <w:sz w:val="40"/>
          <w:szCs w:val="40"/>
          <w:lang w:val="es-ES"/>
        </w:rPr>
        <w:t xml:space="preserve"> lo iguala con los turismos</w:t>
      </w:r>
    </w:p>
    <w:p w:rsidR="00696546" w:rsidRPr="005B7058" w:rsidRDefault="00696546" w:rsidP="005B7058">
      <w:pPr>
        <w:pStyle w:val="03INTESTAZIONEBOLD"/>
        <w:spacing w:line="360" w:lineRule="auto"/>
        <w:ind w:right="566" w:hanging="142"/>
        <w:jc w:val="center"/>
        <w:rPr>
          <w:rFonts w:ascii="Gill Sans MT" w:hAnsi="Gill Sans MT"/>
          <w:color w:val="000000" w:themeColor="text1"/>
          <w:sz w:val="40"/>
          <w:szCs w:val="40"/>
          <w:lang w:val="es-ES"/>
        </w:rPr>
      </w:pPr>
    </w:p>
    <w:p w:rsidR="005B7058" w:rsidRPr="008521AD" w:rsidRDefault="008521AD" w:rsidP="00696546">
      <w:pPr>
        <w:pStyle w:val="Prrafodelista"/>
        <w:numPr>
          <w:ilvl w:val="0"/>
          <w:numId w:val="7"/>
        </w:numPr>
        <w:spacing w:line="360" w:lineRule="auto"/>
        <w:ind w:left="0" w:firstLine="0"/>
        <w:jc w:val="both"/>
        <w:rPr>
          <w:b/>
        </w:rPr>
      </w:pPr>
      <w:bookmarkStart w:id="6" w:name="OLE_LINK3"/>
      <w:bookmarkStart w:id="7" w:name="OLE_LINK4"/>
      <w:bookmarkEnd w:id="0"/>
      <w:bookmarkEnd w:id="1"/>
      <w:bookmarkEnd w:id="2"/>
      <w:bookmarkEnd w:id="3"/>
      <w:bookmarkEnd w:id="4"/>
      <w:bookmarkEnd w:id="5"/>
      <w:r>
        <w:rPr>
          <w:b/>
        </w:rPr>
        <w:t xml:space="preserve">A partir del próximo mes de agosto </w:t>
      </w:r>
      <w:proofErr w:type="spellStart"/>
      <w:r>
        <w:rPr>
          <w:b/>
        </w:rPr>
        <w:t>Fullback</w:t>
      </w:r>
      <w:proofErr w:type="spellEnd"/>
      <w:r w:rsidR="00AE02D1">
        <w:rPr>
          <w:b/>
        </w:rPr>
        <w:t>, el pick-up de Fiat Professional,</w:t>
      </w:r>
      <w:r>
        <w:rPr>
          <w:b/>
        </w:rPr>
        <w:t xml:space="preserve"> podrá circular con las mi</w:t>
      </w:r>
      <w:r w:rsidRPr="008521AD">
        <w:rPr>
          <w:b/>
        </w:rPr>
        <w:t>s</w:t>
      </w:r>
      <w:r>
        <w:rPr>
          <w:b/>
        </w:rPr>
        <w:t>m</w:t>
      </w:r>
      <w:r w:rsidRPr="008521AD">
        <w:rPr>
          <w:b/>
        </w:rPr>
        <w:t xml:space="preserve">as restricciones de velocidad </w:t>
      </w:r>
      <w:r w:rsidR="00B927D4">
        <w:rPr>
          <w:b/>
        </w:rPr>
        <w:t xml:space="preserve">que </w:t>
      </w:r>
      <w:r w:rsidRPr="008521AD">
        <w:rPr>
          <w:b/>
        </w:rPr>
        <w:t xml:space="preserve"> los turismos</w:t>
      </w:r>
      <w:r>
        <w:rPr>
          <w:b/>
        </w:rPr>
        <w:t xml:space="preserve"> en carretera hasta una velocidad máxima de 120 km/h.</w:t>
      </w:r>
      <w:bookmarkStart w:id="8" w:name="_GoBack"/>
      <w:bookmarkEnd w:id="8"/>
    </w:p>
    <w:p w:rsidR="00493E34" w:rsidRDefault="00493E34" w:rsidP="0044402E">
      <w:pPr>
        <w:spacing w:line="360" w:lineRule="auto"/>
        <w:jc w:val="both"/>
        <w:rPr>
          <w:rFonts w:cs="Times New Roman"/>
          <w:b/>
          <w:i/>
          <w:lang w:eastAsia="en-GB"/>
        </w:rPr>
      </w:pPr>
      <w:bookmarkStart w:id="9" w:name="OLE_LINK5"/>
      <w:bookmarkStart w:id="10" w:name="OLE_LINK6"/>
      <w:bookmarkStart w:id="11" w:name="OLE_LINK12"/>
      <w:bookmarkStart w:id="12" w:name="OLE_LINK13"/>
    </w:p>
    <w:p w:rsidR="005B7058" w:rsidRPr="00696546" w:rsidRDefault="00134D90" w:rsidP="00571BBC">
      <w:pPr>
        <w:spacing w:line="360" w:lineRule="auto"/>
        <w:jc w:val="both"/>
        <w:rPr>
          <w:rFonts w:asciiTheme="minorHAnsi" w:hAnsiTheme="minorHAnsi" w:cstheme="minorHAnsi"/>
          <w:bCs/>
        </w:rPr>
      </w:pPr>
      <w:r w:rsidRPr="001C5564">
        <w:rPr>
          <w:rFonts w:asciiTheme="minorHAnsi" w:hAnsiTheme="minorHAnsi" w:cstheme="minorHAnsi"/>
          <w:b/>
          <w:bCs/>
        </w:rPr>
        <w:t xml:space="preserve">Alcalá de Henares, </w:t>
      </w:r>
      <w:r w:rsidR="00DA1887">
        <w:rPr>
          <w:rFonts w:asciiTheme="minorHAnsi" w:hAnsiTheme="minorHAnsi" w:cstheme="minorHAnsi"/>
          <w:b/>
          <w:bCs/>
        </w:rPr>
        <w:t>1</w:t>
      </w:r>
      <w:r w:rsidR="00DA1887">
        <w:rPr>
          <w:rFonts w:asciiTheme="minorHAnsi" w:hAnsiTheme="minorHAnsi" w:cstheme="minorHAnsi"/>
          <w:b/>
          <w:bCs/>
        </w:rPr>
        <w:t>1</w:t>
      </w:r>
      <w:r w:rsidR="00DA1887" w:rsidRPr="001C5564">
        <w:rPr>
          <w:rFonts w:asciiTheme="minorHAnsi" w:hAnsiTheme="minorHAnsi" w:cstheme="minorHAnsi"/>
          <w:b/>
          <w:bCs/>
        </w:rPr>
        <w:t xml:space="preserve"> </w:t>
      </w:r>
      <w:r w:rsidRPr="001C5564">
        <w:rPr>
          <w:rFonts w:asciiTheme="minorHAnsi" w:hAnsiTheme="minorHAnsi" w:cstheme="minorHAnsi"/>
          <w:b/>
          <w:bCs/>
        </w:rPr>
        <w:t xml:space="preserve">de </w:t>
      </w:r>
      <w:r w:rsidR="00803C1C">
        <w:rPr>
          <w:rFonts w:asciiTheme="minorHAnsi" w:hAnsiTheme="minorHAnsi" w:cstheme="minorHAnsi"/>
          <w:b/>
          <w:bCs/>
        </w:rPr>
        <w:t>ju</w:t>
      </w:r>
      <w:r w:rsidR="005B7058">
        <w:rPr>
          <w:rFonts w:asciiTheme="minorHAnsi" w:hAnsiTheme="minorHAnsi" w:cstheme="minorHAnsi"/>
          <w:b/>
          <w:bCs/>
        </w:rPr>
        <w:t>l</w:t>
      </w:r>
      <w:r w:rsidR="00803C1C">
        <w:rPr>
          <w:rFonts w:asciiTheme="minorHAnsi" w:hAnsiTheme="minorHAnsi" w:cstheme="minorHAnsi"/>
          <w:b/>
          <w:bCs/>
        </w:rPr>
        <w:t>io</w:t>
      </w:r>
      <w:r w:rsidRPr="001C5564">
        <w:rPr>
          <w:rFonts w:asciiTheme="minorHAnsi" w:hAnsiTheme="minorHAnsi" w:cstheme="minorHAnsi"/>
          <w:b/>
          <w:bCs/>
        </w:rPr>
        <w:t xml:space="preserve"> de 201</w:t>
      </w:r>
      <w:bookmarkEnd w:id="9"/>
      <w:bookmarkEnd w:id="10"/>
      <w:r w:rsidR="00F47287" w:rsidRPr="001C5564">
        <w:rPr>
          <w:rFonts w:asciiTheme="minorHAnsi" w:hAnsiTheme="minorHAnsi" w:cstheme="minorHAnsi"/>
          <w:b/>
          <w:bCs/>
        </w:rPr>
        <w:t>7</w:t>
      </w:r>
      <w:r w:rsidRPr="001C5564">
        <w:rPr>
          <w:rFonts w:asciiTheme="minorHAnsi" w:hAnsiTheme="minorHAnsi" w:cstheme="minorHAnsi"/>
          <w:b/>
          <w:bCs/>
        </w:rPr>
        <w:t xml:space="preserve">.- </w:t>
      </w:r>
      <w:bookmarkEnd w:id="6"/>
      <w:bookmarkEnd w:id="7"/>
      <w:bookmarkEnd w:id="11"/>
      <w:bookmarkEnd w:id="12"/>
      <w:r w:rsidR="00571BBC" w:rsidRPr="00571BBC">
        <w:rPr>
          <w:rFonts w:asciiTheme="minorHAnsi" w:hAnsiTheme="minorHAnsi" w:cstheme="minorHAnsi"/>
          <w:bCs/>
        </w:rPr>
        <w:t>El Ministerio del Interior, a través de la Dirección General de Tráfico (DGT)</w:t>
      </w:r>
      <w:r w:rsidR="00571BBC">
        <w:rPr>
          <w:rFonts w:asciiTheme="minorHAnsi" w:hAnsiTheme="minorHAnsi" w:cstheme="minorHAnsi"/>
          <w:b/>
          <w:bCs/>
        </w:rPr>
        <w:t xml:space="preserve">, </w:t>
      </w:r>
      <w:r w:rsidR="00571BBC" w:rsidRPr="00696546">
        <w:rPr>
          <w:rFonts w:asciiTheme="minorHAnsi" w:hAnsiTheme="minorHAnsi" w:cstheme="minorHAnsi"/>
          <w:bCs/>
        </w:rPr>
        <w:t xml:space="preserve">ha aprobado la puesta en marcha de un nuevo límite de velocidad en carretera para vehículos de tipo pick up. </w:t>
      </w:r>
    </w:p>
    <w:p w:rsidR="00696546" w:rsidRDefault="00696546" w:rsidP="00571BBC">
      <w:pPr>
        <w:spacing w:line="360" w:lineRule="auto"/>
        <w:jc w:val="both"/>
      </w:pPr>
    </w:p>
    <w:p w:rsidR="00571BBC" w:rsidRDefault="00696546" w:rsidP="00571BBC">
      <w:pPr>
        <w:spacing w:line="360" w:lineRule="auto"/>
        <w:jc w:val="both"/>
      </w:pPr>
      <w:r>
        <w:t xml:space="preserve">De esta forma, a partir del próximo mes de agosto, </w:t>
      </w:r>
      <w:r w:rsidR="00571BBC">
        <w:t xml:space="preserve">a los vehículos tipo pick up, cuya masa </w:t>
      </w:r>
      <w:proofErr w:type="gramStart"/>
      <w:r w:rsidR="00571BBC">
        <w:t>máxima</w:t>
      </w:r>
      <w:proofErr w:type="gramEnd"/>
      <w:r w:rsidR="00571BBC">
        <w:t xml:space="preserve"> no sea superior</w:t>
      </w:r>
      <w:r>
        <w:t xml:space="preserve"> </w:t>
      </w:r>
      <w:r w:rsidR="00571BBC">
        <w:t>a 3.500 kg, en el que las plazas de asiento y la zona de carga no est</w:t>
      </w:r>
      <w:r>
        <w:t>é</w:t>
      </w:r>
      <w:r w:rsidR="00571BBC">
        <w:t>n situadas en un compartimento</w:t>
      </w:r>
      <w:r>
        <w:t xml:space="preserve"> </w:t>
      </w:r>
      <w:r w:rsidR="00571BBC">
        <w:t>único y cuya altura total no sea superior a 2 m</w:t>
      </w:r>
      <w:r>
        <w:t>etros</w:t>
      </w:r>
      <w:r w:rsidR="00571BBC">
        <w:t>, les serán de aplicación las mismas normas de</w:t>
      </w:r>
      <w:r>
        <w:t xml:space="preserve"> </w:t>
      </w:r>
      <w:r w:rsidR="00571BBC">
        <w:t>circulación que a los vehículos tipo turismo</w:t>
      </w:r>
      <w:r>
        <w:t xml:space="preserve">. </w:t>
      </w:r>
    </w:p>
    <w:p w:rsidR="00696546" w:rsidRDefault="00696546" w:rsidP="00571BBC">
      <w:pPr>
        <w:spacing w:line="360" w:lineRule="auto"/>
        <w:jc w:val="both"/>
      </w:pPr>
    </w:p>
    <w:p w:rsidR="00696546" w:rsidRDefault="00696546" w:rsidP="00571BBC">
      <w:pPr>
        <w:spacing w:line="360" w:lineRule="auto"/>
        <w:jc w:val="both"/>
        <w:rPr>
          <w:lang w:val="es-ES_tradnl"/>
        </w:rPr>
      </w:pPr>
      <w:r>
        <w:t xml:space="preserve">Con la entrada en vigor de esta nueva normativa, el Fiat </w:t>
      </w:r>
      <w:proofErr w:type="spellStart"/>
      <w:r>
        <w:t>Fullback</w:t>
      </w:r>
      <w:proofErr w:type="spellEnd"/>
      <w:r>
        <w:t xml:space="preserve">, uno de los pick up de mayor éxito del mercado desde su lanzamiento en 2016, equipara sus prestaciones en carretera con las del resto de turismos. Algo que, por otro lado, permitirá sacar el mejor partido de sus potentes y eficientes mecánicas </w:t>
      </w:r>
      <w:r w:rsidRPr="00951A64">
        <w:rPr>
          <w:lang w:val="es-ES_tradnl"/>
        </w:rPr>
        <w:t xml:space="preserve">turbo </w:t>
      </w:r>
      <w:proofErr w:type="spellStart"/>
      <w:r w:rsidRPr="00951A64">
        <w:rPr>
          <w:lang w:val="es-ES_tradnl"/>
        </w:rPr>
        <w:t>diésel</w:t>
      </w:r>
      <w:proofErr w:type="spellEnd"/>
      <w:r w:rsidRPr="00951A64">
        <w:rPr>
          <w:lang w:val="es-ES_tradnl"/>
        </w:rPr>
        <w:t xml:space="preserve"> </w:t>
      </w:r>
      <w:proofErr w:type="spellStart"/>
      <w:r w:rsidRPr="00951A64">
        <w:rPr>
          <w:i/>
          <w:lang w:val="es-ES_tradnl"/>
        </w:rPr>
        <w:t>common</w:t>
      </w:r>
      <w:proofErr w:type="spellEnd"/>
      <w:r w:rsidRPr="00951A64">
        <w:rPr>
          <w:i/>
          <w:lang w:val="es-ES_tradnl"/>
        </w:rPr>
        <w:t xml:space="preserve"> </w:t>
      </w:r>
      <w:proofErr w:type="spellStart"/>
      <w:r w:rsidRPr="00951A64">
        <w:rPr>
          <w:i/>
          <w:lang w:val="es-ES_tradnl"/>
        </w:rPr>
        <w:t>rail</w:t>
      </w:r>
      <w:proofErr w:type="spellEnd"/>
      <w:r w:rsidRPr="00951A64">
        <w:rPr>
          <w:lang w:val="es-ES_tradnl"/>
        </w:rPr>
        <w:t xml:space="preserve"> de 2,4 litros con dos opciones de</w:t>
      </w:r>
      <w:r>
        <w:rPr>
          <w:lang w:val="es-ES_tradnl"/>
        </w:rPr>
        <w:t xml:space="preserve"> potencia y de par: 154</w:t>
      </w:r>
      <w:r w:rsidRPr="00951A64">
        <w:rPr>
          <w:lang w:val="es-ES_tradnl"/>
        </w:rPr>
        <w:t xml:space="preserve"> CV (</w:t>
      </w:r>
      <w:r>
        <w:rPr>
          <w:lang w:val="es-ES_tradnl"/>
        </w:rPr>
        <w:t xml:space="preserve">113 </w:t>
      </w:r>
      <w:proofErr w:type="spellStart"/>
      <w:r>
        <w:rPr>
          <w:lang w:val="es-ES_tradnl"/>
        </w:rPr>
        <w:t>kW</w:t>
      </w:r>
      <w:proofErr w:type="spellEnd"/>
      <w:r>
        <w:rPr>
          <w:lang w:val="es-ES_tradnl"/>
        </w:rPr>
        <w:t xml:space="preserve">) con 380 </w:t>
      </w:r>
      <w:proofErr w:type="spellStart"/>
      <w:r>
        <w:rPr>
          <w:lang w:val="es-ES_tradnl"/>
        </w:rPr>
        <w:t>Nm</w:t>
      </w:r>
      <w:proofErr w:type="spellEnd"/>
      <w:r>
        <w:rPr>
          <w:lang w:val="es-ES_tradnl"/>
        </w:rPr>
        <w:t xml:space="preserve"> o bien de 181</w:t>
      </w:r>
      <w:r w:rsidRPr="00951A64">
        <w:rPr>
          <w:lang w:val="es-ES_tradnl"/>
        </w:rPr>
        <w:t xml:space="preserve"> CV (133 </w:t>
      </w:r>
      <w:proofErr w:type="spellStart"/>
      <w:r w:rsidRPr="00951A64">
        <w:rPr>
          <w:lang w:val="es-ES_tradnl"/>
        </w:rPr>
        <w:t>kW</w:t>
      </w:r>
      <w:proofErr w:type="spellEnd"/>
      <w:r w:rsidRPr="00951A64">
        <w:rPr>
          <w:lang w:val="es-ES_tradnl"/>
        </w:rPr>
        <w:t xml:space="preserve">) con 430 </w:t>
      </w:r>
      <w:proofErr w:type="spellStart"/>
      <w:r w:rsidRPr="00951A64">
        <w:rPr>
          <w:lang w:val="es-ES_tradnl"/>
        </w:rPr>
        <w:t>Nm.</w:t>
      </w:r>
      <w:proofErr w:type="spellEnd"/>
      <w:r>
        <w:rPr>
          <w:lang w:val="es-ES_tradnl"/>
        </w:rPr>
        <w:t xml:space="preserve"> </w:t>
      </w:r>
    </w:p>
    <w:p w:rsidR="00696546" w:rsidRDefault="00696546" w:rsidP="00571BBC">
      <w:pPr>
        <w:spacing w:line="360" w:lineRule="auto"/>
        <w:jc w:val="both"/>
        <w:rPr>
          <w:lang w:val="es-ES_tradnl"/>
        </w:rPr>
      </w:pPr>
    </w:p>
    <w:p w:rsidR="00696546" w:rsidRPr="005B6287" w:rsidRDefault="00696546" w:rsidP="00571BBC">
      <w:pPr>
        <w:spacing w:line="360" w:lineRule="auto"/>
        <w:jc w:val="both"/>
      </w:pPr>
      <w:r>
        <w:rPr>
          <w:lang w:val="es-ES_tradnl"/>
        </w:rPr>
        <w:t xml:space="preserve">Fiat </w:t>
      </w:r>
      <w:proofErr w:type="spellStart"/>
      <w:r>
        <w:rPr>
          <w:lang w:val="es-ES_tradnl"/>
        </w:rPr>
        <w:t>Fullback</w:t>
      </w:r>
      <w:proofErr w:type="spellEnd"/>
      <w:r>
        <w:rPr>
          <w:lang w:val="es-ES_tradnl"/>
        </w:rPr>
        <w:t xml:space="preserve"> ha sido fabricado p</w:t>
      </w:r>
      <w:r w:rsidRPr="00951A64">
        <w:rPr>
          <w:lang w:val="es-ES_tradnl"/>
        </w:rPr>
        <w:t xml:space="preserve">ara hacer frente a cualquier misión, incluso las más difíciles, </w:t>
      </w:r>
      <w:r>
        <w:rPr>
          <w:lang w:val="es-ES_tradnl"/>
        </w:rPr>
        <w:t xml:space="preserve">y </w:t>
      </w:r>
      <w:r w:rsidRPr="00951A64">
        <w:rPr>
          <w:lang w:val="es-ES_tradnl"/>
        </w:rPr>
        <w:t>cuenta con una gran capacidad de carga y una robustez superior, a su construcció</w:t>
      </w:r>
      <w:r>
        <w:rPr>
          <w:lang w:val="es-ES_tradnl"/>
        </w:rPr>
        <w:t>n con carrocería sobre bastidor, así como a su</w:t>
      </w:r>
      <w:r w:rsidRPr="00951A64">
        <w:rPr>
          <w:lang w:val="es-ES_tradnl"/>
        </w:rPr>
        <w:t xml:space="preserve"> arquitectura de suspensión, la parte delantera del </w:t>
      </w:r>
      <w:proofErr w:type="spellStart"/>
      <w:r w:rsidRPr="00951A64">
        <w:rPr>
          <w:lang w:val="es-ES_tradnl"/>
        </w:rPr>
        <w:t>Fullback</w:t>
      </w:r>
      <w:proofErr w:type="spellEnd"/>
      <w:r w:rsidRPr="00951A64">
        <w:rPr>
          <w:lang w:val="es-ES_tradnl"/>
        </w:rPr>
        <w:t xml:space="preserve"> presenta un diseño sofisticado de doble brazo con barra estabilizadora, mientras que en la parte trasera el eje sólido está equipado con suspensión de ballesta con chapa de madera para una máxima fiabilidad y robustez</w:t>
      </w:r>
      <w:r>
        <w:rPr>
          <w:lang w:val="es-ES_tradnl"/>
        </w:rPr>
        <w:t xml:space="preserve">. Unas características que aseguran la máxima versatilidad para su uso tanto dentro como fuera del asfalto. </w:t>
      </w:r>
    </w:p>
    <w:p w:rsidR="005B7058" w:rsidRPr="005B6287" w:rsidRDefault="005B7058" w:rsidP="005B7058">
      <w:pPr>
        <w:shd w:val="clear" w:color="auto" w:fill="FFFFFF"/>
        <w:spacing w:before="100" w:beforeAutospacing="1" w:after="100" w:afterAutospacing="1"/>
        <w:rPr>
          <w:rFonts w:ascii="Arial" w:hAnsi="Arial" w:cs="Arial"/>
          <w:color w:val="415367"/>
          <w:sz w:val="18"/>
          <w:szCs w:val="18"/>
        </w:rPr>
      </w:pPr>
      <w:r>
        <w:rPr>
          <w:rFonts w:ascii="Arial" w:hAnsi="Arial"/>
          <w:color w:val="415367"/>
          <w:sz w:val="18"/>
          <w:szCs w:val="18"/>
        </w:rPr>
        <w:t> </w:t>
      </w:r>
    </w:p>
    <w:p w:rsidR="00AE1780" w:rsidRPr="00DA1887" w:rsidRDefault="006C7E56" w:rsidP="0044402E">
      <w:pPr>
        <w:spacing w:line="360" w:lineRule="auto"/>
        <w:ind w:right="566"/>
        <w:rPr>
          <w:rFonts w:ascii="Arial" w:eastAsia="Calibri" w:hAnsi="Arial" w:cs="Arial"/>
          <w:b/>
          <w:bCs/>
          <w:color w:val="A6A6A6" w:themeColor="background1" w:themeShade="A6"/>
          <w:sz w:val="16"/>
          <w:szCs w:val="16"/>
          <w:u w:val="single"/>
          <w:lang w:val="en-US" w:eastAsia="it-IT"/>
        </w:rPr>
      </w:pPr>
      <w:r w:rsidRPr="00DA1887">
        <w:rPr>
          <w:rFonts w:ascii="Arial" w:eastAsia="Calibri" w:hAnsi="Arial" w:cs="Arial"/>
          <w:b/>
          <w:bCs/>
          <w:color w:val="A6A6A6" w:themeColor="background1" w:themeShade="A6"/>
          <w:sz w:val="16"/>
          <w:szCs w:val="16"/>
          <w:u w:val="single"/>
          <w:lang w:val="en-US" w:eastAsia="it-IT"/>
        </w:rPr>
        <w:lastRenderedPageBreak/>
        <w:t>Fiat Chrysler Automobiles Spain, S.A.</w:t>
      </w:r>
    </w:p>
    <w:p w:rsidR="00AE1780" w:rsidRDefault="00740753"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44402E">
      <w:pPr>
        <w:ind w:right="566"/>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w:t>
      </w:r>
      <w:r w:rsidR="00D67636">
        <w:rPr>
          <w:rFonts w:ascii="Arial" w:eastAsia="Calibri" w:hAnsi="Arial" w:cs="Arial"/>
          <w:b/>
          <w:bCs/>
          <w:color w:val="A6A6A6" w:themeColor="background1" w:themeShade="A6"/>
          <w:sz w:val="16"/>
          <w:szCs w:val="16"/>
          <w:lang w:val="es-ES_tradnl" w:eastAsia="it-IT"/>
        </w:rPr>
        <w:t>9</w:t>
      </w:r>
      <w:r w:rsidRPr="00FF177B">
        <w:rPr>
          <w:rFonts w:ascii="Arial" w:eastAsia="Calibri" w:hAnsi="Arial" w:cs="Arial"/>
          <w:b/>
          <w:bCs/>
          <w:color w:val="A6A6A6" w:themeColor="background1" w:themeShade="A6"/>
          <w:sz w:val="16"/>
          <w:szCs w:val="16"/>
          <w:lang w:val="es-ES_tradnl" w:eastAsia="it-IT"/>
        </w:rPr>
        <w:t>.</w:t>
      </w:r>
      <w:r w:rsidR="00D67636">
        <w:rPr>
          <w:rFonts w:ascii="Arial" w:eastAsia="Calibri" w:hAnsi="Arial" w:cs="Arial"/>
          <w:b/>
          <w:bCs/>
          <w:color w:val="A6A6A6" w:themeColor="background1" w:themeShade="A6"/>
          <w:sz w:val="16"/>
          <w:szCs w:val="16"/>
          <w:lang w:val="es-ES_tradnl" w:eastAsia="it-IT"/>
        </w:rPr>
        <w:t>8</w:t>
      </w:r>
      <w:r w:rsidRPr="00FF177B">
        <w:rPr>
          <w:rFonts w:ascii="Arial" w:eastAsia="Calibri" w:hAnsi="Arial" w:cs="Arial"/>
          <w:b/>
          <w:bCs/>
          <w:color w:val="A6A6A6" w:themeColor="background1" w:themeShade="A6"/>
          <w:sz w:val="16"/>
          <w:szCs w:val="16"/>
          <w:lang w:val="es-ES_tradnl" w:eastAsia="it-IT"/>
        </w:rPr>
        <w:t>3</w:t>
      </w:r>
    </w:p>
    <w:p w:rsidR="00AE1780" w:rsidRPr="00E07BE1" w:rsidRDefault="00AE1780"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Emai</w:t>
      </w:r>
      <w:r w:rsidR="00696546">
        <w:rPr>
          <w:rFonts w:ascii="Arial" w:eastAsia="Calibri" w:hAnsi="Arial" w:cs="Arial"/>
          <w:b/>
          <w:bCs/>
          <w:color w:val="A6A6A6" w:themeColor="background1" w:themeShade="A6"/>
          <w:sz w:val="16"/>
          <w:szCs w:val="16"/>
          <w:lang w:val="es-ES_tradnl" w:eastAsia="it-IT"/>
        </w:rPr>
        <w:t>l</w:t>
      </w:r>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44402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w:t>
      </w:r>
      <w:r w:rsidR="001C5564">
        <w:rPr>
          <w:rFonts w:ascii="Helvetica" w:hAnsi="Helvetica"/>
          <w:b/>
          <w:color w:val="A6A6A6" w:themeColor="background1" w:themeShade="A6"/>
          <w:sz w:val="16"/>
          <w:szCs w:val="16"/>
          <w:lang w:eastAsia="it-IT"/>
        </w:rPr>
        <w:t xml:space="preserve">n </w:t>
      </w:r>
      <w:r w:rsidR="001C5564" w:rsidRPr="001C5564">
        <w:rPr>
          <w:rFonts w:ascii="Helvetica" w:hAnsi="Helvetica"/>
          <w:b/>
          <w:color w:val="A6A6A6" w:themeColor="background1" w:themeShade="A6"/>
          <w:sz w:val="16"/>
          <w:szCs w:val="16"/>
          <w:lang w:eastAsia="it-IT"/>
        </w:rPr>
        <w:t>www.fiatprofessionalpress.es</w:t>
      </w:r>
    </w:p>
    <w:sectPr w:rsidR="002615BB" w:rsidRPr="00AE1780"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39" w:rsidRDefault="00292539" w:rsidP="0040727A">
      <w:r>
        <w:separator/>
      </w:r>
    </w:p>
  </w:endnote>
  <w:endnote w:type="continuationSeparator" w:id="0">
    <w:p w:rsidR="00292539" w:rsidRDefault="00292539"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C7E56" w:rsidRPr="006C7E56">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6C7E56" w:rsidRPr="006C7E56">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C7E56" w:rsidRPr="006C7E56">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39" w:rsidRDefault="00292539" w:rsidP="0040727A">
      <w:r>
        <w:separator/>
      </w:r>
    </w:p>
  </w:footnote>
  <w:footnote w:type="continuationSeparator" w:id="0">
    <w:p w:rsidR="00292539" w:rsidRDefault="0029253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4AA1D33"/>
    <w:multiLevelType w:val="hybridMultilevel"/>
    <w:tmpl w:val="B3C0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8"/>
  </w:num>
  <w:num w:numId="6">
    <w:abstractNumId w:val="10"/>
  </w:num>
  <w:num w:numId="7">
    <w:abstractNumId w:val="3"/>
  </w:num>
  <w:num w:numId="8">
    <w:abstractNumId w:val="6"/>
  </w:num>
  <w:num w:numId="9">
    <w:abstractNumId w:val="4"/>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5001"/>
    <w:rsid w:val="00050CC5"/>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96436"/>
    <w:rsid w:val="001A44E1"/>
    <w:rsid w:val="001B476D"/>
    <w:rsid w:val="001C195B"/>
    <w:rsid w:val="001C5564"/>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92539"/>
    <w:rsid w:val="002A049E"/>
    <w:rsid w:val="002A14B0"/>
    <w:rsid w:val="002C2B49"/>
    <w:rsid w:val="002C3F7E"/>
    <w:rsid w:val="002D6459"/>
    <w:rsid w:val="002E0018"/>
    <w:rsid w:val="002E7B9B"/>
    <w:rsid w:val="002F21DC"/>
    <w:rsid w:val="002F4162"/>
    <w:rsid w:val="002F4A8D"/>
    <w:rsid w:val="002F608C"/>
    <w:rsid w:val="00301313"/>
    <w:rsid w:val="003060F3"/>
    <w:rsid w:val="003205CA"/>
    <w:rsid w:val="00336E14"/>
    <w:rsid w:val="00393AE1"/>
    <w:rsid w:val="003B2FC2"/>
    <w:rsid w:val="003B5E1C"/>
    <w:rsid w:val="003B604D"/>
    <w:rsid w:val="003D0012"/>
    <w:rsid w:val="003D00CD"/>
    <w:rsid w:val="003D0B65"/>
    <w:rsid w:val="003E18E7"/>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93E34"/>
    <w:rsid w:val="004947D2"/>
    <w:rsid w:val="0049543E"/>
    <w:rsid w:val="00495FDB"/>
    <w:rsid w:val="004A382C"/>
    <w:rsid w:val="004B4360"/>
    <w:rsid w:val="004C2471"/>
    <w:rsid w:val="004C70FB"/>
    <w:rsid w:val="004F5277"/>
    <w:rsid w:val="00513EA9"/>
    <w:rsid w:val="00514B4C"/>
    <w:rsid w:val="0052590C"/>
    <w:rsid w:val="005272E3"/>
    <w:rsid w:val="00532207"/>
    <w:rsid w:val="005322FE"/>
    <w:rsid w:val="00534CF0"/>
    <w:rsid w:val="005373C2"/>
    <w:rsid w:val="00537D8F"/>
    <w:rsid w:val="0055058C"/>
    <w:rsid w:val="00555B39"/>
    <w:rsid w:val="00562E81"/>
    <w:rsid w:val="00571BBC"/>
    <w:rsid w:val="0057401A"/>
    <w:rsid w:val="005769CF"/>
    <w:rsid w:val="005A3219"/>
    <w:rsid w:val="005B7058"/>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96546"/>
    <w:rsid w:val="006A010A"/>
    <w:rsid w:val="006A69E7"/>
    <w:rsid w:val="006C156E"/>
    <w:rsid w:val="006C7E56"/>
    <w:rsid w:val="006D2246"/>
    <w:rsid w:val="006E0884"/>
    <w:rsid w:val="006E44CA"/>
    <w:rsid w:val="007038EE"/>
    <w:rsid w:val="00704B41"/>
    <w:rsid w:val="00710E9A"/>
    <w:rsid w:val="00732268"/>
    <w:rsid w:val="00740753"/>
    <w:rsid w:val="00742856"/>
    <w:rsid w:val="00747D6E"/>
    <w:rsid w:val="007555AD"/>
    <w:rsid w:val="00755767"/>
    <w:rsid w:val="00774BEF"/>
    <w:rsid w:val="007820C2"/>
    <w:rsid w:val="007826F7"/>
    <w:rsid w:val="007B2775"/>
    <w:rsid w:val="007B7327"/>
    <w:rsid w:val="007C22FB"/>
    <w:rsid w:val="007C4AA0"/>
    <w:rsid w:val="007D228B"/>
    <w:rsid w:val="007D4DCC"/>
    <w:rsid w:val="007E4B54"/>
    <w:rsid w:val="007F3B1B"/>
    <w:rsid w:val="007F42CE"/>
    <w:rsid w:val="00803C1C"/>
    <w:rsid w:val="0080593F"/>
    <w:rsid w:val="00807297"/>
    <w:rsid w:val="00826617"/>
    <w:rsid w:val="0084139F"/>
    <w:rsid w:val="008521AD"/>
    <w:rsid w:val="008524D7"/>
    <w:rsid w:val="00873252"/>
    <w:rsid w:val="00891F86"/>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26BD"/>
    <w:rsid w:val="009D58E4"/>
    <w:rsid w:val="009D5CDD"/>
    <w:rsid w:val="009E6EC2"/>
    <w:rsid w:val="00A03237"/>
    <w:rsid w:val="00A0337E"/>
    <w:rsid w:val="00A06543"/>
    <w:rsid w:val="00A076A7"/>
    <w:rsid w:val="00A115F8"/>
    <w:rsid w:val="00A208F5"/>
    <w:rsid w:val="00A23946"/>
    <w:rsid w:val="00A30C48"/>
    <w:rsid w:val="00A57CDC"/>
    <w:rsid w:val="00A74B7E"/>
    <w:rsid w:val="00A75A90"/>
    <w:rsid w:val="00A823DB"/>
    <w:rsid w:val="00A91968"/>
    <w:rsid w:val="00AA2C47"/>
    <w:rsid w:val="00AA5EAD"/>
    <w:rsid w:val="00AA6167"/>
    <w:rsid w:val="00AB4F94"/>
    <w:rsid w:val="00AB7FF8"/>
    <w:rsid w:val="00AD1588"/>
    <w:rsid w:val="00AE02D1"/>
    <w:rsid w:val="00AE1780"/>
    <w:rsid w:val="00AE35CD"/>
    <w:rsid w:val="00AF4967"/>
    <w:rsid w:val="00B2051F"/>
    <w:rsid w:val="00B21B70"/>
    <w:rsid w:val="00B23C3A"/>
    <w:rsid w:val="00B32CA2"/>
    <w:rsid w:val="00B47193"/>
    <w:rsid w:val="00B50028"/>
    <w:rsid w:val="00B65279"/>
    <w:rsid w:val="00B663AD"/>
    <w:rsid w:val="00B927D4"/>
    <w:rsid w:val="00B92B43"/>
    <w:rsid w:val="00BA73EE"/>
    <w:rsid w:val="00BB33D8"/>
    <w:rsid w:val="00BC3EBE"/>
    <w:rsid w:val="00BC688D"/>
    <w:rsid w:val="00BE0212"/>
    <w:rsid w:val="00BF1F49"/>
    <w:rsid w:val="00BF49AC"/>
    <w:rsid w:val="00BF5175"/>
    <w:rsid w:val="00C05AB3"/>
    <w:rsid w:val="00C066F6"/>
    <w:rsid w:val="00C20E27"/>
    <w:rsid w:val="00C43DE7"/>
    <w:rsid w:val="00C452B8"/>
    <w:rsid w:val="00C4539D"/>
    <w:rsid w:val="00C53F3B"/>
    <w:rsid w:val="00C6192F"/>
    <w:rsid w:val="00C63F47"/>
    <w:rsid w:val="00C7419D"/>
    <w:rsid w:val="00C93276"/>
    <w:rsid w:val="00C97BA2"/>
    <w:rsid w:val="00CA462B"/>
    <w:rsid w:val="00CC4C3F"/>
    <w:rsid w:val="00CC6E32"/>
    <w:rsid w:val="00CD22C5"/>
    <w:rsid w:val="00CD48DB"/>
    <w:rsid w:val="00CE0698"/>
    <w:rsid w:val="00D01373"/>
    <w:rsid w:val="00D30759"/>
    <w:rsid w:val="00D43FEE"/>
    <w:rsid w:val="00D477D0"/>
    <w:rsid w:val="00D53F37"/>
    <w:rsid w:val="00D60750"/>
    <w:rsid w:val="00D62C19"/>
    <w:rsid w:val="00D67636"/>
    <w:rsid w:val="00D738C2"/>
    <w:rsid w:val="00D85307"/>
    <w:rsid w:val="00D95639"/>
    <w:rsid w:val="00DA1887"/>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F10B69"/>
    <w:rsid w:val="00F145C4"/>
    <w:rsid w:val="00F27540"/>
    <w:rsid w:val="00F449FB"/>
    <w:rsid w:val="00F44D0D"/>
    <w:rsid w:val="00F47287"/>
    <w:rsid w:val="00F47782"/>
    <w:rsid w:val="00F55682"/>
    <w:rsid w:val="00F64D03"/>
    <w:rsid w:val="00F854AA"/>
    <w:rsid w:val="00F9537E"/>
    <w:rsid w:val="00FB2D1E"/>
    <w:rsid w:val="00FC4BF8"/>
    <w:rsid w:val="00FC650C"/>
    <w:rsid w:val="00FC6525"/>
    <w:rsid w:val="00FD0A2D"/>
    <w:rsid w:val="00FD17DC"/>
    <w:rsid w:val="00FE73DA"/>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AE51-64F1-4C5B-AFED-0F5EF57B5E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F5A1A8-29E4-447A-83CE-A45355D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2017-07-11T08:07:00Z</dcterms:created>
  <dcterms:modified xsi:type="dcterms:W3CDTF">2017-07-11T09:54:00Z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8842dba6-3168-4e39-bf40-028ff92cfb3e</vt:lpwstr>
  </property>
  <property fmtid="{D5CDD505-2E9C-101B-9397-08002B2CF9AE}" pid="3" name="bjSaver">
    <vt:lpwstr>elwBr0N2t2NOspNub5aC2z+cAd+eIq7y</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U123923,11/07/2017 10:06:59,GENERAL BUSINESS</vt:lpwstr>
  </property>
</Properties>
</file>